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D953" w14:textId="77777777" w:rsidR="009D0E8B" w:rsidRDefault="009D0E8B" w:rsidP="009D0E8B">
      <w:pPr>
        <w:pStyle w:val="Heading2"/>
        <w:ind w:left="-630"/>
        <w:rPr>
          <w:rFonts w:ascii="Times New Roman" w:hAnsi="Times New Roman"/>
          <w:color w:val="0F243E"/>
          <w:sz w:val="18"/>
          <w:szCs w:val="18"/>
        </w:rPr>
      </w:pPr>
    </w:p>
    <w:p w14:paraId="472F08BD" w14:textId="77777777" w:rsidR="009D0E8B" w:rsidRPr="009D0E8B" w:rsidRDefault="009D0E8B" w:rsidP="009D0E8B">
      <w:pPr>
        <w:pStyle w:val="Heading2"/>
        <w:ind w:left="-630"/>
        <w:rPr>
          <w:rFonts w:ascii="Times New Roman" w:hAnsi="Times New Roman"/>
          <w:color w:val="0F243E"/>
          <w:sz w:val="18"/>
          <w:szCs w:val="18"/>
        </w:rPr>
      </w:pPr>
      <w:r w:rsidRPr="009D0E8B">
        <w:rPr>
          <w:rFonts w:ascii="Times New Roman" w:hAnsi="Times New Roman"/>
          <w:color w:val="0F243E"/>
          <w:sz w:val="18"/>
          <w:szCs w:val="18"/>
        </w:rPr>
        <w:t>Seneca County</w:t>
      </w:r>
    </w:p>
    <w:p w14:paraId="726F0E5A" w14:textId="77777777" w:rsidR="009D0E8B" w:rsidRPr="009D0E8B" w:rsidRDefault="009D0E8B" w:rsidP="009D0E8B">
      <w:pPr>
        <w:pStyle w:val="Heading2"/>
        <w:ind w:left="-630"/>
        <w:rPr>
          <w:rFonts w:ascii="Times New Roman" w:hAnsi="Times New Roman"/>
          <w:color w:val="0F243E"/>
          <w:sz w:val="18"/>
          <w:szCs w:val="18"/>
        </w:rPr>
      </w:pPr>
      <w:r w:rsidRPr="009D0E8B">
        <w:rPr>
          <w:rFonts w:ascii="Times New Roman" w:hAnsi="Times New Roman"/>
          <w:color w:val="0F243E"/>
          <w:sz w:val="18"/>
          <w:szCs w:val="18"/>
        </w:rPr>
        <w:t>Economic Development Corporation</w:t>
      </w:r>
      <w:r w:rsidRPr="009D0E8B">
        <w:rPr>
          <w:rFonts w:ascii="Times New Roman" w:hAnsi="Times New Roman"/>
          <w:color w:val="0F243E"/>
          <w:sz w:val="18"/>
          <w:szCs w:val="18"/>
        </w:rPr>
        <w:tab/>
        <w:t xml:space="preserve">                                                        </w:t>
      </w:r>
      <w:r>
        <w:rPr>
          <w:rFonts w:ascii="Times New Roman" w:hAnsi="Times New Roman"/>
          <w:color w:val="0F243E"/>
          <w:sz w:val="18"/>
          <w:szCs w:val="18"/>
        </w:rPr>
        <w:tab/>
      </w:r>
      <w:r>
        <w:rPr>
          <w:rFonts w:ascii="Times New Roman" w:hAnsi="Times New Roman"/>
          <w:color w:val="0F243E"/>
          <w:sz w:val="18"/>
          <w:szCs w:val="18"/>
        </w:rPr>
        <w:tab/>
      </w:r>
      <w:r w:rsidRPr="009D0E8B">
        <w:rPr>
          <w:rFonts w:ascii="Times New Roman" w:hAnsi="Times New Roman"/>
          <w:color w:val="0F243E"/>
          <w:sz w:val="18"/>
          <w:szCs w:val="18"/>
        </w:rPr>
        <w:t>Telephone (315) 539-1725</w:t>
      </w:r>
    </w:p>
    <w:tbl>
      <w:tblPr>
        <w:tblW w:w="10908" w:type="dxa"/>
        <w:tblInd w:w="-810" w:type="dxa"/>
        <w:tblBorders>
          <w:top w:val="double" w:sz="4" w:space="0" w:color="auto"/>
        </w:tblBorders>
        <w:tblLayout w:type="fixed"/>
        <w:tblLook w:val="0000" w:firstRow="0" w:lastRow="0" w:firstColumn="0" w:lastColumn="0" w:noHBand="0" w:noVBand="0"/>
      </w:tblPr>
      <w:tblGrid>
        <w:gridCol w:w="6030"/>
        <w:gridCol w:w="4878"/>
      </w:tblGrid>
      <w:tr w:rsidR="009D0E8B" w:rsidRPr="009D0E8B" w14:paraId="532E7C14" w14:textId="77777777" w:rsidTr="009D0E8B">
        <w:trPr>
          <w:trHeight w:val="150"/>
        </w:trPr>
        <w:tc>
          <w:tcPr>
            <w:tcW w:w="6030" w:type="dxa"/>
          </w:tcPr>
          <w:p w14:paraId="29868EC7" w14:textId="77777777" w:rsidR="009D0E8B" w:rsidRPr="009D0E8B" w:rsidRDefault="009D0E8B" w:rsidP="00B27240">
            <w:pPr>
              <w:pStyle w:val="Heading2"/>
              <w:rPr>
                <w:rFonts w:ascii="Times New Roman" w:hAnsi="Times New Roman"/>
                <w:color w:val="0F243E"/>
                <w:sz w:val="18"/>
                <w:szCs w:val="18"/>
              </w:rPr>
            </w:pPr>
          </w:p>
          <w:p w14:paraId="2A203A57" w14:textId="77777777" w:rsidR="009D0E8B" w:rsidRPr="009D0E8B" w:rsidRDefault="009D0E8B" w:rsidP="00B27240">
            <w:pPr>
              <w:pStyle w:val="Heading2"/>
              <w:rPr>
                <w:rFonts w:ascii="Times New Roman" w:hAnsi="Times New Roman"/>
                <w:color w:val="0F243E"/>
                <w:sz w:val="18"/>
                <w:szCs w:val="18"/>
              </w:rPr>
            </w:pPr>
            <w:r w:rsidRPr="009D0E8B">
              <w:rPr>
                <w:rFonts w:ascii="Times New Roman" w:hAnsi="Times New Roman"/>
                <w:color w:val="0F243E"/>
                <w:sz w:val="18"/>
                <w:szCs w:val="18"/>
              </w:rPr>
              <w:t>One DiPronio Drive, Waterloo, New York 13165</w:t>
            </w:r>
          </w:p>
          <w:p w14:paraId="316AF179" w14:textId="77777777" w:rsidR="009D0E8B" w:rsidRPr="009D0E8B" w:rsidRDefault="009D0E8B" w:rsidP="00B27240">
            <w:pPr>
              <w:rPr>
                <w:rFonts w:ascii="Times New Roman" w:hAnsi="Times New Roman"/>
                <w:b/>
                <w:i/>
                <w:color w:val="0F243E"/>
                <w:sz w:val="18"/>
                <w:szCs w:val="18"/>
              </w:rPr>
            </w:pPr>
          </w:p>
        </w:tc>
        <w:tc>
          <w:tcPr>
            <w:tcW w:w="4878" w:type="dxa"/>
          </w:tcPr>
          <w:p w14:paraId="6EBE8EF0" w14:textId="77777777" w:rsidR="009D0E8B" w:rsidRPr="009D0E8B" w:rsidRDefault="009D0E8B" w:rsidP="00B27240">
            <w:pPr>
              <w:pStyle w:val="Heading4"/>
              <w:rPr>
                <w:rFonts w:ascii="Times New Roman" w:hAnsi="Times New Roman"/>
                <w:color w:val="0F243E"/>
                <w:sz w:val="18"/>
                <w:szCs w:val="18"/>
              </w:rPr>
            </w:pPr>
          </w:p>
          <w:p w14:paraId="1F7E812E" w14:textId="77777777" w:rsidR="009D0E8B" w:rsidRPr="009D0E8B" w:rsidRDefault="009D0E8B" w:rsidP="00B27240">
            <w:pPr>
              <w:pStyle w:val="Heading4"/>
              <w:rPr>
                <w:rFonts w:ascii="Times New Roman" w:hAnsi="Times New Roman"/>
                <w:color w:val="0F243E"/>
                <w:sz w:val="18"/>
                <w:szCs w:val="18"/>
              </w:rPr>
            </w:pPr>
            <w:r w:rsidRPr="009D0E8B">
              <w:rPr>
                <w:rFonts w:ascii="Times New Roman" w:hAnsi="Times New Roman"/>
                <w:color w:val="0F243E"/>
                <w:sz w:val="18"/>
                <w:szCs w:val="18"/>
              </w:rPr>
              <w:t xml:space="preserve">      </w:t>
            </w:r>
            <w:r>
              <w:rPr>
                <w:rFonts w:ascii="Times New Roman" w:hAnsi="Times New Roman"/>
                <w:color w:val="0F243E"/>
                <w:sz w:val="18"/>
                <w:szCs w:val="18"/>
              </w:rPr>
              <w:t xml:space="preserve">   </w:t>
            </w:r>
            <w:r w:rsidRPr="009D0E8B">
              <w:rPr>
                <w:rFonts w:ascii="Times New Roman" w:hAnsi="Times New Roman"/>
                <w:color w:val="0F243E"/>
                <w:sz w:val="18"/>
                <w:szCs w:val="18"/>
              </w:rPr>
              <w:t>Fax (315) 539-4340</w:t>
            </w:r>
          </w:p>
        </w:tc>
      </w:tr>
    </w:tbl>
    <w:p w14:paraId="395AF836" w14:textId="77777777" w:rsidR="009D0E8B" w:rsidRDefault="009D0E8B" w:rsidP="00003F9A">
      <w:pPr>
        <w:jc w:val="center"/>
        <w:rPr>
          <w:rFonts w:cs="Calibri"/>
          <w:b/>
          <w:sz w:val="18"/>
          <w:szCs w:val="18"/>
          <w:u w:val="single"/>
        </w:rPr>
      </w:pPr>
    </w:p>
    <w:p w14:paraId="71F10D80" w14:textId="77777777" w:rsidR="00485CDA" w:rsidRPr="00485CDA" w:rsidRDefault="00485CDA" w:rsidP="00485CDA">
      <w:pPr>
        <w:spacing w:after="0"/>
        <w:jc w:val="center"/>
        <w:rPr>
          <w:rFonts w:asciiTheme="minorHAnsi" w:hAnsiTheme="minorHAnsi" w:cstheme="minorHAnsi"/>
          <w:b/>
          <w:color w:val="833C0B" w:themeColor="accent2" w:themeShade="80"/>
        </w:rPr>
      </w:pPr>
      <w:r w:rsidRPr="00485CDA">
        <w:rPr>
          <w:rFonts w:asciiTheme="minorHAnsi" w:hAnsiTheme="minorHAnsi" w:cstheme="minorHAnsi"/>
          <w:b/>
          <w:color w:val="833C0B" w:themeColor="accent2" w:themeShade="80"/>
        </w:rPr>
        <w:t xml:space="preserve">Seneca County Economic Development Corporation </w:t>
      </w:r>
    </w:p>
    <w:p w14:paraId="479FD831" w14:textId="77777777" w:rsidR="00485CDA" w:rsidRPr="00485CDA" w:rsidRDefault="00485CDA" w:rsidP="00485CDA">
      <w:pPr>
        <w:spacing w:after="0"/>
        <w:jc w:val="center"/>
        <w:rPr>
          <w:rFonts w:asciiTheme="minorHAnsi" w:eastAsiaTheme="minorHAnsi" w:hAnsiTheme="minorHAnsi" w:cstheme="minorHAnsi"/>
          <w:b/>
          <w:color w:val="833C0B" w:themeColor="accent2" w:themeShade="80"/>
          <w:w w:val="105"/>
        </w:rPr>
      </w:pPr>
      <w:r w:rsidRPr="00485CDA">
        <w:rPr>
          <w:rFonts w:asciiTheme="minorHAnsi" w:hAnsiTheme="minorHAnsi" w:cstheme="minorHAnsi"/>
          <w:b/>
          <w:color w:val="833C0B" w:themeColor="accent2" w:themeShade="80"/>
          <w:w w:val="105"/>
        </w:rPr>
        <w:t>Schedule of Corporations Investments</w:t>
      </w:r>
    </w:p>
    <w:p w14:paraId="5A35B0D5" w14:textId="23D51A9B" w:rsidR="00485CDA" w:rsidRPr="00485CDA" w:rsidRDefault="00485CDA" w:rsidP="00485CDA">
      <w:pPr>
        <w:spacing w:after="0"/>
        <w:jc w:val="center"/>
        <w:rPr>
          <w:rFonts w:asciiTheme="minorHAnsi" w:hAnsiTheme="minorHAnsi" w:cstheme="minorHAnsi"/>
          <w:b/>
          <w:color w:val="833C0B" w:themeColor="accent2" w:themeShade="80"/>
          <w:w w:val="105"/>
        </w:rPr>
      </w:pPr>
      <w:r w:rsidRPr="00485CDA">
        <w:rPr>
          <w:rFonts w:asciiTheme="minorHAnsi" w:hAnsiTheme="minorHAnsi" w:cstheme="minorHAnsi"/>
          <w:b/>
          <w:color w:val="833C0B" w:themeColor="accent2" w:themeShade="80"/>
          <w:w w:val="105"/>
        </w:rPr>
        <w:t xml:space="preserve">Year Ended December 31, </w:t>
      </w:r>
      <w:r w:rsidR="00C95134">
        <w:rPr>
          <w:rFonts w:asciiTheme="minorHAnsi" w:hAnsiTheme="minorHAnsi" w:cstheme="minorHAnsi"/>
          <w:b/>
          <w:color w:val="833C0B" w:themeColor="accent2" w:themeShade="80"/>
          <w:w w:val="105"/>
        </w:rPr>
        <w:t>2021</w:t>
      </w:r>
    </w:p>
    <w:p w14:paraId="58CDBDD5" w14:textId="77777777" w:rsidR="00485CDA" w:rsidRPr="00485CDA" w:rsidRDefault="00485CDA" w:rsidP="00485CDA">
      <w:pPr>
        <w:jc w:val="center"/>
        <w:rPr>
          <w:rFonts w:asciiTheme="minorHAnsi" w:hAnsiTheme="minorHAnsi" w:cstheme="minorHAnsi"/>
          <w:b/>
          <w:color w:val="833C0B" w:themeColor="accent2" w:themeShade="80"/>
        </w:rPr>
      </w:pPr>
    </w:p>
    <w:p w14:paraId="67F88824" w14:textId="77777777" w:rsidR="00485CDA" w:rsidRPr="00485CDA" w:rsidRDefault="00485CDA" w:rsidP="00485CDA">
      <w:pPr>
        <w:pStyle w:val="BodyText"/>
        <w:ind w:left="0" w:firstLine="14"/>
        <w:contextualSpacing/>
        <w:jc w:val="both"/>
        <w:rPr>
          <w:rFonts w:asciiTheme="minorHAnsi" w:hAnsiTheme="minorHAnsi" w:cstheme="minorHAnsi"/>
          <w:color w:val="383838"/>
        </w:rPr>
      </w:pPr>
      <w:r w:rsidRPr="00485CDA">
        <w:rPr>
          <w:rFonts w:asciiTheme="minorHAnsi" w:hAnsiTheme="minorHAnsi" w:cstheme="minorHAnsi"/>
          <w:color w:val="383838"/>
        </w:rPr>
        <w:t>Annual Investment Report-§2925(6) of Public Authorities Law of the State of New York requires that each public authority must annually prepare an investment report which shall include (a) investment guide</w:t>
      </w:r>
      <w:r w:rsidRPr="00485CDA">
        <w:rPr>
          <w:rFonts w:asciiTheme="minorHAnsi" w:eastAsia="Arial" w:hAnsiTheme="minorHAnsi" w:cstheme="minorHAnsi"/>
          <w:color w:val="383838"/>
        </w:rPr>
        <w:t>l</w:t>
      </w:r>
      <w:r w:rsidRPr="00485CDA">
        <w:rPr>
          <w:rFonts w:asciiTheme="minorHAnsi" w:hAnsiTheme="minorHAnsi" w:cstheme="minorHAnsi"/>
          <w:color w:val="383838"/>
        </w:rPr>
        <w:t>ines, (b) amendments to such guidelines since the last investment report, (c) an explanation of the</w:t>
      </w:r>
      <w:r w:rsidRPr="00485CDA">
        <w:rPr>
          <w:rFonts w:asciiTheme="minorHAnsi" w:hAnsiTheme="minorHAnsi" w:cstheme="minorHAnsi"/>
          <w:color w:val="383838"/>
          <w:w w:val="102"/>
        </w:rPr>
        <w:t xml:space="preserve"> </w:t>
      </w:r>
      <w:r w:rsidRPr="00485CDA">
        <w:rPr>
          <w:rFonts w:asciiTheme="minorHAnsi" w:hAnsiTheme="minorHAnsi" w:cstheme="minorHAnsi"/>
          <w:color w:val="383838"/>
        </w:rPr>
        <w:t>investment guidelines and amendments, (d) results of the annual independent audit, (e) the investment income record of the Corporation, and (f) a list of the total fees, commissions or other charges paid to each investment banker,  broker, dealer and adviser rendering investment  associated services to the Corporation since the last investment report.</w:t>
      </w:r>
    </w:p>
    <w:p w14:paraId="448BBF45" w14:textId="77777777" w:rsidR="00485CDA" w:rsidRPr="00485CDA" w:rsidRDefault="00485CDA" w:rsidP="00485CDA">
      <w:pPr>
        <w:pStyle w:val="BodyText"/>
        <w:ind w:left="0" w:firstLine="14"/>
        <w:contextualSpacing/>
        <w:jc w:val="both"/>
        <w:rPr>
          <w:rFonts w:asciiTheme="minorHAnsi" w:hAnsiTheme="minorHAnsi" w:cstheme="minorHAnsi"/>
        </w:rPr>
      </w:pPr>
    </w:p>
    <w:p w14:paraId="40358D03" w14:textId="77777777" w:rsidR="00485CDA" w:rsidRPr="00485CDA" w:rsidRDefault="00485CDA" w:rsidP="00485CDA">
      <w:pPr>
        <w:pStyle w:val="BodyText"/>
        <w:numPr>
          <w:ilvl w:val="0"/>
          <w:numId w:val="9"/>
        </w:numPr>
        <w:tabs>
          <w:tab w:val="left" w:pos="2347"/>
        </w:tabs>
        <w:ind w:left="0" w:hanging="330"/>
        <w:contextualSpacing/>
        <w:jc w:val="both"/>
        <w:rPr>
          <w:rFonts w:asciiTheme="minorHAnsi" w:hAnsiTheme="minorHAnsi" w:cstheme="minorHAnsi"/>
        </w:rPr>
      </w:pPr>
      <w:r w:rsidRPr="00485CDA">
        <w:rPr>
          <w:rFonts w:asciiTheme="minorHAnsi" w:hAnsiTheme="minorHAnsi" w:cstheme="minorHAnsi"/>
          <w:b/>
          <w:color w:val="833C0B" w:themeColor="accent2" w:themeShade="80"/>
        </w:rPr>
        <w:t>Investment Guidelines</w:t>
      </w:r>
      <w:r w:rsidRPr="00485CDA">
        <w:rPr>
          <w:rFonts w:asciiTheme="minorHAnsi" w:hAnsiTheme="minorHAnsi" w:cstheme="minorHAnsi"/>
          <w:color w:val="383838"/>
        </w:rPr>
        <w:t xml:space="preserve">:     </w:t>
      </w:r>
      <w:r w:rsidRPr="00485CDA">
        <w:rPr>
          <w:rFonts w:asciiTheme="minorHAnsi" w:hAnsiTheme="minorHAnsi" w:cstheme="minorHAnsi"/>
          <w:i/>
          <w:color w:val="383838"/>
        </w:rPr>
        <w:t>The Corporation’s investment policies are governed by State statutes. In</w:t>
      </w:r>
      <w:r w:rsidRPr="00485CDA">
        <w:rPr>
          <w:rFonts w:asciiTheme="minorHAnsi" w:hAnsiTheme="minorHAnsi" w:cstheme="minorHAnsi"/>
          <w:i/>
          <w:color w:val="383838"/>
          <w:w w:val="96"/>
        </w:rPr>
        <w:t xml:space="preserve"> </w:t>
      </w:r>
      <w:r w:rsidRPr="00485CDA">
        <w:rPr>
          <w:rFonts w:asciiTheme="minorHAnsi" w:hAnsiTheme="minorHAnsi" w:cstheme="minorHAnsi"/>
          <w:i/>
          <w:color w:val="383838"/>
        </w:rPr>
        <w:t>addition, the Corporation has its own written investment policy which was adopted by the Members of the Corporation;</w:t>
      </w:r>
      <w:r w:rsidRPr="00485CDA">
        <w:rPr>
          <w:rFonts w:asciiTheme="minorHAnsi" w:hAnsiTheme="minorHAnsi" w:cstheme="minorHAnsi"/>
          <w:color w:val="383838"/>
        </w:rPr>
        <w:t xml:space="preserve"> </w:t>
      </w:r>
    </w:p>
    <w:p w14:paraId="616F88D9" w14:textId="77777777" w:rsidR="00485CDA" w:rsidRPr="00485CDA" w:rsidRDefault="00485CDA" w:rsidP="00485CDA">
      <w:pPr>
        <w:pStyle w:val="BodyText"/>
        <w:tabs>
          <w:tab w:val="left" w:pos="2347"/>
        </w:tabs>
        <w:ind w:left="0"/>
        <w:contextualSpacing/>
        <w:jc w:val="both"/>
        <w:rPr>
          <w:rFonts w:asciiTheme="minorHAnsi" w:hAnsiTheme="minorHAnsi" w:cstheme="minorHAnsi"/>
        </w:rPr>
      </w:pPr>
    </w:p>
    <w:p w14:paraId="0EE1E818" w14:textId="77777777" w:rsidR="00485CDA" w:rsidRPr="00485CDA" w:rsidRDefault="00485CDA" w:rsidP="00485CDA">
      <w:pPr>
        <w:pStyle w:val="BodyText"/>
        <w:numPr>
          <w:ilvl w:val="0"/>
          <w:numId w:val="9"/>
        </w:numPr>
        <w:tabs>
          <w:tab w:val="left" w:pos="2333"/>
        </w:tabs>
        <w:ind w:left="0" w:hanging="326"/>
        <w:contextualSpacing/>
        <w:jc w:val="both"/>
        <w:rPr>
          <w:rFonts w:asciiTheme="minorHAnsi" w:hAnsiTheme="minorHAnsi" w:cstheme="minorHAnsi"/>
        </w:rPr>
      </w:pPr>
      <w:r w:rsidRPr="00485CDA">
        <w:rPr>
          <w:rFonts w:asciiTheme="minorHAnsi" w:hAnsiTheme="minorHAnsi" w:cstheme="minorHAnsi"/>
          <w:b/>
          <w:color w:val="833C0B" w:themeColor="accent2" w:themeShade="80"/>
          <w:w w:val="105"/>
        </w:rPr>
        <w:t>Amendments to Guidelines</w:t>
      </w:r>
      <w:r w:rsidRPr="00485CDA">
        <w:rPr>
          <w:rFonts w:asciiTheme="minorHAnsi" w:hAnsiTheme="minorHAnsi" w:cstheme="minorHAnsi"/>
          <w:color w:val="383838"/>
          <w:w w:val="105"/>
        </w:rPr>
        <w:t>:</w:t>
      </w:r>
      <w:r w:rsidRPr="00485CDA">
        <w:rPr>
          <w:rFonts w:asciiTheme="minorHAnsi" w:hAnsiTheme="minorHAnsi" w:cstheme="minorHAnsi"/>
          <w:color w:val="383838"/>
          <w:w w:val="105"/>
        </w:rPr>
        <w:tab/>
      </w:r>
      <w:r w:rsidRPr="00485CDA">
        <w:rPr>
          <w:rFonts w:asciiTheme="minorHAnsi" w:hAnsiTheme="minorHAnsi" w:cstheme="minorHAnsi"/>
          <w:i/>
          <w:color w:val="383838"/>
          <w:w w:val="105"/>
        </w:rPr>
        <w:t>None;</w:t>
      </w:r>
      <w:r w:rsidRPr="00485CDA">
        <w:rPr>
          <w:rFonts w:asciiTheme="minorHAnsi" w:hAnsiTheme="minorHAnsi" w:cstheme="minorHAnsi"/>
          <w:color w:val="383838"/>
          <w:w w:val="105"/>
        </w:rPr>
        <w:t xml:space="preserve"> </w:t>
      </w:r>
    </w:p>
    <w:p w14:paraId="0B918C7B" w14:textId="77777777" w:rsidR="00485CDA" w:rsidRPr="00485CDA" w:rsidRDefault="00485CDA" w:rsidP="00485CDA">
      <w:pPr>
        <w:pStyle w:val="BodyText"/>
        <w:tabs>
          <w:tab w:val="left" w:pos="2333"/>
        </w:tabs>
        <w:ind w:left="0"/>
        <w:contextualSpacing/>
        <w:jc w:val="both"/>
        <w:rPr>
          <w:rFonts w:asciiTheme="minorHAnsi" w:hAnsiTheme="minorHAnsi" w:cstheme="minorHAnsi"/>
        </w:rPr>
      </w:pPr>
    </w:p>
    <w:p w14:paraId="69C70127" w14:textId="7D23B7DA" w:rsidR="00485CDA" w:rsidRPr="00485CDA" w:rsidRDefault="00485CDA" w:rsidP="00485CDA">
      <w:pPr>
        <w:pStyle w:val="BodyText"/>
        <w:numPr>
          <w:ilvl w:val="0"/>
          <w:numId w:val="9"/>
        </w:numPr>
        <w:tabs>
          <w:tab w:val="left" w:pos="2323"/>
        </w:tabs>
        <w:ind w:left="0" w:hanging="330"/>
        <w:contextualSpacing/>
        <w:jc w:val="both"/>
        <w:rPr>
          <w:rFonts w:asciiTheme="minorHAnsi" w:hAnsiTheme="minorHAnsi" w:cstheme="minorHAnsi"/>
          <w:i/>
        </w:rPr>
      </w:pPr>
      <w:r w:rsidRPr="00485CDA">
        <w:rPr>
          <w:rFonts w:asciiTheme="minorHAnsi" w:hAnsiTheme="minorHAnsi" w:cstheme="minorHAnsi"/>
          <w:b/>
          <w:color w:val="833C0B" w:themeColor="accent2" w:themeShade="80"/>
          <w:w w:val="105"/>
        </w:rPr>
        <w:t>Results of the Annual Independent Audit</w:t>
      </w:r>
      <w:r w:rsidRPr="00485CDA">
        <w:rPr>
          <w:rFonts w:asciiTheme="minorHAnsi" w:hAnsiTheme="minorHAnsi" w:cstheme="minorHAnsi"/>
          <w:color w:val="383838"/>
          <w:w w:val="105"/>
        </w:rPr>
        <w:t xml:space="preserve">:     </w:t>
      </w:r>
      <w:r w:rsidRPr="00485CDA">
        <w:rPr>
          <w:rFonts w:asciiTheme="minorHAnsi" w:hAnsiTheme="minorHAnsi" w:cstheme="minorHAnsi"/>
          <w:i/>
          <w:color w:val="383838"/>
          <w:w w:val="105"/>
        </w:rPr>
        <w:t>The independent auditors have issued a Report on the Corporation’s Compliance with Section 2925(3)(f) of the New York State Public Authorities Law and declared that in connection with their audit, nothing came to their attention that caused them to believe that the Corporation failed to comply regarding investment guidelines during the year ending December 31</w:t>
      </w:r>
      <w:r w:rsidR="00C95134">
        <w:rPr>
          <w:rFonts w:asciiTheme="minorHAnsi" w:hAnsiTheme="minorHAnsi" w:cstheme="minorHAnsi"/>
          <w:i/>
          <w:color w:val="383838"/>
          <w:w w:val="105"/>
        </w:rPr>
        <w:t>, 2021</w:t>
      </w:r>
    </w:p>
    <w:p w14:paraId="12843765" w14:textId="77777777" w:rsidR="00485CDA" w:rsidRPr="00485CDA" w:rsidRDefault="00485CDA" w:rsidP="00485CDA">
      <w:pPr>
        <w:pStyle w:val="BodyText"/>
        <w:tabs>
          <w:tab w:val="left" w:pos="2323"/>
        </w:tabs>
        <w:ind w:left="0"/>
        <w:contextualSpacing/>
        <w:jc w:val="both"/>
        <w:rPr>
          <w:rFonts w:asciiTheme="minorHAnsi" w:hAnsiTheme="minorHAnsi" w:cstheme="minorHAnsi"/>
        </w:rPr>
      </w:pPr>
    </w:p>
    <w:p w14:paraId="754DEBB0" w14:textId="00EE8083" w:rsidR="00485CDA" w:rsidRPr="00485CDA" w:rsidRDefault="00485CDA" w:rsidP="00485CDA">
      <w:pPr>
        <w:pStyle w:val="BodyText"/>
        <w:numPr>
          <w:ilvl w:val="0"/>
          <w:numId w:val="9"/>
        </w:numPr>
        <w:tabs>
          <w:tab w:val="left" w:pos="2323"/>
        </w:tabs>
        <w:ind w:left="0"/>
        <w:contextualSpacing/>
        <w:jc w:val="both"/>
        <w:rPr>
          <w:rFonts w:asciiTheme="minorHAnsi" w:hAnsiTheme="minorHAnsi" w:cstheme="minorHAnsi"/>
          <w:i/>
          <w:color w:val="383838"/>
          <w:w w:val="95"/>
        </w:rPr>
      </w:pPr>
      <w:r w:rsidRPr="00485CDA">
        <w:rPr>
          <w:rFonts w:asciiTheme="minorHAnsi" w:hAnsiTheme="minorHAnsi" w:cstheme="minorHAnsi"/>
          <w:b/>
          <w:color w:val="833C0B" w:themeColor="accent2" w:themeShade="80"/>
        </w:rPr>
        <w:t>Investment income record</w:t>
      </w:r>
      <w:r w:rsidRPr="00485CDA">
        <w:rPr>
          <w:rFonts w:asciiTheme="minorHAnsi" w:hAnsiTheme="minorHAnsi" w:cstheme="minorHAnsi"/>
          <w:color w:val="833C0B" w:themeColor="accent2" w:themeShade="80"/>
        </w:rPr>
        <w:t xml:space="preserve">:     </w:t>
      </w:r>
      <w:r w:rsidRPr="00485CDA">
        <w:rPr>
          <w:rFonts w:asciiTheme="minorHAnsi" w:hAnsiTheme="minorHAnsi" w:cstheme="minorHAnsi"/>
          <w:i/>
          <w:color w:val="383838"/>
        </w:rPr>
        <w:t xml:space="preserve">Investment income for the year ended December 31, </w:t>
      </w:r>
      <w:proofErr w:type="gramStart"/>
      <w:r w:rsidR="00FC51C8">
        <w:rPr>
          <w:rFonts w:asciiTheme="minorHAnsi" w:hAnsiTheme="minorHAnsi" w:cstheme="minorHAnsi"/>
          <w:i/>
          <w:color w:val="383838"/>
        </w:rPr>
        <w:t>2</w:t>
      </w:r>
      <w:r w:rsidR="00C95134">
        <w:rPr>
          <w:rFonts w:asciiTheme="minorHAnsi" w:hAnsiTheme="minorHAnsi" w:cstheme="minorHAnsi"/>
          <w:i/>
          <w:color w:val="383838"/>
        </w:rPr>
        <w:t>021</w:t>
      </w:r>
      <w:proofErr w:type="gramEnd"/>
      <w:r w:rsidR="00C95134">
        <w:rPr>
          <w:rFonts w:asciiTheme="minorHAnsi" w:hAnsiTheme="minorHAnsi" w:cstheme="minorHAnsi"/>
          <w:i/>
          <w:color w:val="383838"/>
        </w:rPr>
        <w:t xml:space="preserve"> </w:t>
      </w:r>
      <w:r w:rsidRPr="00485CDA">
        <w:rPr>
          <w:rFonts w:asciiTheme="minorHAnsi" w:hAnsiTheme="minorHAnsi" w:cstheme="minorHAnsi"/>
          <w:i/>
          <w:color w:val="383838"/>
        </w:rPr>
        <w:t xml:space="preserve">consisted of:  </w:t>
      </w:r>
    </w:p>
    <w:p w14:paraId="4957C283" w14:textId="63191288" w:rsidR="00485CDA" w:rsidRPr="00485CDA" w:rsidRDefault="00485CDA" w:rsidP="00485CDA">
      <w:pPr>
        <w:pStyle w:val="BodyText"/>
        <w:tabs>
          <w:tab w:val="left" w:pos="2323"/>
        </w:tabs>
        <w:ind w:left="0"/>
        <w:contextualSpacing/>
        <w:jc w:val="both"/>
        <w:rPr>
          <w:rFonts w:asciiTheme="minorHAnsi" w:hAnsiTheme="minorHAnsi" w:cstheme="minorHAnsi"/>
          <w:b/>
          <w:i/>
          <w:u w:val="single"/>
        </w:rPr>
      </w:pPr>
      <w:r>
        <w:rPr>
          <w:rFonts w:asciiTheme="minorHAnsi" w:hAnsiTheme="minorHAnsi" w:cstheme="minorHAnsi"/>
          <w:i/>
          <w:color w:val="383838"/>
          <w:w w:val="95"/>
        </w:rPr>
        <w:tab/>
      </w:r>
      <w:r>
        <w:rPr>
          <w:rFonts w:asciiTheme="minorHAnsi" w:hAnsiTheme="minorHAnsi" w:cstheme="minorHAnsi"/>
          <w:i/>
          <w:color w:val="383838"/>
          <w:w w:val="95"/>
        </w:rPr>
        <w:tab/>
      </w:r>
      <w:r w:rsidRPr="00485CDA">
        <w:rPr>
          <w:rFonts w:asciiTheme="minorHAnsi" w:hAnsiTheme="minorHAnsi" w:cstheme="minorHAnsi"/>
          <w:b/>
          <w:i/>
          <w:color w:val="833C0B" w:themeColor="accent2" w:themeShade="80"/>
          <w:w w:val="95"/>
        </w:rPr>
        <w:t>Interest Earned</w:t>
      </w:r>
      <w:r w:rsidRPr="00485CDA">
        <w:rPr>
          <w:rFonts w:asciiTheme="minorHAnsi" w:hAnsiTheme="minorHAnsi" w:cstheme="minorHAnsi"/>
          <w:b/>
          <w:i/>
          <w:color w:val="383838"/>
          <w:w w:val="95"/>
        </w:rPr>
        <w:t>……….$</w:t>
      </w:r>
      <w:r w:rsidRPr="00485CDA">
        <w:rPr>
          <w:rFonts w:asciiTheme="minorHAnsi" w:hAnsiTheme="minorHAnsi" w:cstheme="minorHAnsi"/>
          <w:b/>
          <w:i/>
          <w:color w:val="383838"/>
          <w:w w:val="95"/>
          <w:u w:val="single"/>
        </w:rPr>
        <w:tab/>
      </w:r>
      <w:r w:rsidR="00C95134">
        <w:rPr>
          <w:rFonts w:asciiTheme="minorHAnsi" w:hAnsiTheme="minorHAnsi" w:cstheme="minorHAnsi"/>
          <w:b/>
          <w:i/>
          <w:color w:val="383838"/>
          <w:w w:val="95"/>
          <w:u w:val="single"/>
        </w:rPr>
        <w:t>95.00</w:t>
      </w:r>
    </w:p>
    <w:p w14:paraId="46CDF3EE" w14:textId="77777777" w:rsidR="00485CDA" w:rsidRPr="00485CDA" w:rsidRDefault="00485CDA" w:rsidP="00485CDA">
      <w:pPr>
        <w:pStyle w:val="ListParagraph"/>
        <w:jc w:val="both"/>
        <w:rPr>
          <w:rFonts w:asciiTheme="minorHAnsi" w:hAnsiTheme="minorHAnsi" w:cstheme="minorHAnsi"/>
          <w:b/>
          <w:color w:val="383838"/>
        </w:rPr>
      </w:pPr>
    </w:p>
    <w:p w14:paraId="214E306E" w14:textId="6F00685B" w:rsidR="00AF6C65" w:rsidRPr="00C95134" w:rsidRDefault="00485CDA" w:rsidP="00380113">
      <w:pPr>
        <w:pStyle w:val="BodyText"/>
        <w:numPr>
          <w:ilvl w:val="0"/>
          <w:numId w:val="9"/>
        </w:numPr>
        <w:tabs>
          <w:tab w:val="left" w:pos="2323"/>
        </w:tabs>
        <w:ind w:left="0"/>
        <w:contextualSpacing/>
        <w:jc w:val="center"/>
        <w:rPr>
          <w:rFonts w:asciiTheme="minorHAnsi" w:hAnsiTheme="minorHAnsi" w:cstheme="minorHAnsi"/>
          <w:b/>
          <w:sz w:val="18"/>
          <w:szCs w:val="18"/>
          <w:u w:val="single"/>
        </w:rPr>
      </w:pPr>
      <w:r w:rsidRPr="00C95134">
        <w:rPr>
          <w:rFonts w:asciiTheme="minorHAnsi" w:hAnsiTheme="minorHAnsi" w:cstheme="minorHAnsi"/>
          <w:b/>
          <w:color w:val="833C0B" w:themeColor="accent2" w:themeShade="80"/>
        </w:rPr>
        <w:t xml:space="preserve">List of the total fees, commissions or other charges paid to each investment banker, broker, </w:t>
      </w:r>
      <w:proofErr w:type="gramStart"/>
      <w:r w:rsidRPr="00C95134">
        <w:rPr>
          <w:rFonts w:asciiTheme="minorHAnsi" w:hAnsiTheme="minorHAnsi" w:cstheme="minorHAnsi"/>
          <w:b/>
          <w:color w:val="833C0B" w:themeColor="accent2" w:themeShade="80"/>
        </w:rPr>
        <w:t>dealer</w:t>
      </w:r>
      <w:proofErr w:type="gramEnd"/>
      <w:r w:rsidRPr="00C95134">
        <w:rPr>
          <w:rFonts w:asciiTheme="minorHAnsi" w:hAnsiTheme="minorHAnsi" w:cstheme="minorHAnsi"/>
          <w:b/>
          <w:color w:val="833C0B" w:themeColor="accent2" w:themeShade="80"/>
        </w:rPr>
        <w:t xml:space="preserve"> and adviser rendering investment associated services to the Corporation since the last investment report</w:t>
      </w:r>
      <w:r w:rsidRPr="00C95134">
        <w:rPr>
          <w:rFonts w:asciiTheme="minorHAnsi" w:hAnsiTheme="minorHAnsi" w:cstheme="minorHAnsi"/>
          <w:color w:val="383838"/>
        </w:rPr>
        <w:t xml:space="preserve">:     </w:t>
      </w:r>
      <w:r w:rsidRPr="00C95134">
        <w:rPr>
          <w:rFonts w:asciiTheme="minorHAnsi" w:hAnsiTheme="minorHAnsi" w:cstheme="minorHAnsi"/>
          <w:i/>
          <w:color w:val="383838"/>
        </w:rPr>
        <w:t xml:space="preserve">No such fees or commissions were paid during the year ended December 31, </w:t>
      </w:r>
      <w:r w:rsidR="00C95134">
        <w:rPr>
          <w:rFonts w:asciiTheme="minorHAnsi" w:hAnsiTheme="minorHAnsi" w:cstheme="minorHAnsi"/>
          <w:i/>
          <w:color w:val="383838"/>
        </w:rPr>
        <w:t>2021</w:t>
      </w:r>
    </w:p>
    <w:sectPr w:rsidR="00AF6C65" w:rsidRPr="00C95134" w:rsidSect="00485CDA">
      <w:headerReference w:type="even" r:id="rId8"/>
      <w:headerReference w:type="default" r:id="rId9"/>
      <w:footerReference w:type="even" r:id="rId10"/>
      <w:footerReference w:type="default" r:id="rId11"/>
      <w:headerReference w:type="first" r:id="rId12"/>
      <w:footerReference w:type="first" r:id="rId13"/>
      <w:pgSz w:w="12240" w:h="15840"/>
      <w:pgMar w:top="540" w:right="1440" w:bottom="270" w:left="1440" w:header="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3FD6" w14:textId="77777777" w:rsidR="002D34CE" w:rsidRDefault="002D34CE">
      <w:r>
        <w:separator/>
      </w:r>
    </w:p>
  </w:endnote>
  <w:endnote w:type="continuationSeparator" w:id="0">
    <w:p w14:paraId="6D386CBD" w14:textId="77777777" w:rsidR="002D34CE" w:rsidRDefault="002D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rk Avenu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53D" w14:textId="77777777" w:rsidR="00C95134" w:rsidRDefault="00C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621F" w14:textId="4C76BEF0" w:rsidR="00F5682B" w:rsidRDefault="00F5682B" w:rsidP="00F5682B">
    <w:pPr>
      <w:pStyle w:val="Footer"/>
      <w:pBdr>
        <w:top w:val="single" w:sz="4" w:space="0" w:color="D9D9D9"/>
      </w:pBdr>
      <w:tabs>
        <w:tab w:val="left" w:pos="330"/>
        <w:tab w:val="right" w:pos="9360"/>
      </w:tabs>
    </w:pPr>
    <w:r>
      <w:tab/>
      <w:t xml:space="preserve">EDC </w:t>
    </w:r>
    <w:r w:rsidR="00FC51C8">
      <w:t>20</w:t>
    </w:r>
    <w:r w:rsidR="00C95134">
      <w:t>21</w:t>
    </w:r>
    <w:r w:rsidR="00485CDA">
      <w:t xml:space="preserve"> Investment </w:t>
    </w:r>
    <w:r>
      <w:t xml:space="preserve">Report </w:t>
    </w:r>
    <w:r w:rsidR="00485CDA">
      <w:tab/>
    </w:r>
    <w:r>
      <w:tab/>
    </w:r>
    <w:r>
      <w:fldChar w:fldCharType="begin"/>
    </w:r>
    <w:r>
      <w:instrText xml:space="preserve"> PAGE   \* MERGEFORMAT </w:instrText>
    </w:r>
    <w:r>
      <w:fldChar w:fldCharType="separate"/>
    </w:r>
    <w:r w:rsidR="00485CDA">
      <w:rPr>
        <w:noProof/>
      </w:rPr>
      <w:t>1</w:t>
    </w:r>
    <w:r>
      <w:rPr>
        <w:noProof/>
      </w:rPr>
      <w:fldChar w:fldCharType="end"/>
    </w:r>
    <w:r>
      <w:t xml:space="preserve"> | </w:t>
    </w:r>
    <w:r w:rsidRPr="00F5682B">
      <w:rPr>
        <w:color w:val="808080"/>
        <w:spacing w:val="60"/>
      </w:rPr>
      <w:t>Page</w:t>
    </w:r>
  </w:p>
  <w:p w14:paraId="310E2398" w14:textId="77777777" w:rsidR="00003F9A" w:rsidRDefault="00003F9A" w:rsidP="00F5682B">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0F0B" w14:textId="77777777" w:rsidR="00C95134" w:rsidRDefault="00C95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442" w14:textId="77777777" w:rsidR="002D34CE" w:rsidRDefault="002D34CE">
      <w:r>
        <w:separator/>
      </w:r>
    </w:p>
  </w:footnote>
  <w:footnote w:type="continuationSeparator" w:id="0">
    <w:p w14:paraId="56B9A15B" w14:textId="77777777" w:rsidR="002D34CE" w:rsidRDefault="002D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9956" w14:textId="77777777" w:rsidR="00C95134" w:rsidRDefault="00C95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E00" w14:textId="77777777" w:rsidR="00C95134" w:rsidRDefault="00C95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081B" w14:textId="77777777" w:rsidR="00C95134" w:rsidRDefault="00C9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CCA"/>
    <w:multiLevelType w:val="hybridMultilevel"/>
    <w:tmpl w:val="13BED0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46D5B"/>
    <w:multiLevelType w:val="hybridMultilevel"/>
    <w:tmpl w:val="BFBAD824"/>
    <w:lvl w:ilvl="0" w:tplc="7EC010E2">
      <w:start w:val="1"/>
      <w:numFmt w:val="lowerLetter"/>
      <w:lvlText w:val="%1)"/>
      <w:lvlJc w:val="left"/>
      <w:pPr>
        <w:ind w:left="1056" w:hanging="336"/>
      </w:pPr>
      <w:rPr>
        <w:rFonts w:ascii="Calibri Light" w:hAnsi="Calibri Light" w:cs="Calibri Light" w:hint="default"/>
        <w:b/>
        <w:i w:val="0"/>
        <w:color w:val="383838"/>
        <w:w w:val="95"/>
        <w:sz w:val="24"/>
        <w:szCs w:val="24"/>
      </w:rPr>
    </w:lvl>
    <w:lvl w:ilvl="1" w:tplc="BECC4A9C">
      <w:start w:val="1"/>
      <w:numFmt w:val="bullet"/>
      <w:lvlText w:val="•"/>
      <w:lvlJc w:val="left"/>
      <w:pPr>
        <w:ind w:left="1882" w:hanging="336"/>
      </w:pPr>
    </w:lvl>
    <w:lvl w:ilvl="2" w:tplc="9BE053D4">
      <w:start w:val="1"/>
      <w:numFmt w:val="bullet"/>
      <w:lvlText w:val="•"/>
      <w:lvlJc w:val="left"/>
      <w:pPr>
        <w:ind w:left="2708" w:hanging="336"/>
      </w:pPr>
    </w:lvl>
    <w:lvl w:ilvl="3" w:tplc="6BD2B0F4">
      <w:start w:val="1"/>
      <w:numFmt w:val="bullet"/>
      <w:lvlText w:val="•"/>
      <w:lvlJc w:val="left"/>
      <w:pPr>
        <w:ind w:left="3534" w:hanging="336"/>
      </w:pPr>
    </w:lvl>
    <w:lvl w:ilvl="4" w:tplc="0ED0966C">
      <w:start w:val="1"/>
      <w:numFmt w:val="bullet"/>
      <w:lvlText w:val="•"/>
      <w:lvlJc w:val="left"/>
      <w:pPr>
        <w:ind w:left="4360" w:hanging="336"/>
      </w:pPr>
    </w:lvl>
    <w:lvl w:ilvl="5" w:tplc="286E8BC2">
      <w:start w:val="1"/>
      <w:numFmt w:val="bullet"/>
      <w:lvlText w:val="•"/>
      <w:lvlJc w:val="left"/>
      <w:pPr>
        <w:ind w:left="5185" w:hanging="336"/>
      </w:pPr>
    </w:lvl>
    <w:lvl w:ilvl="6" w:tplc="10444992">
      <w:start w:val="1"/>
      <w:numFmt w:val="bullet"/>
      <w:lvlText w:val="•"/>
      <w:lvlJc w:val="left"/>
      <w:pPr>
        <w:ind w:left="6011" w:hanging="336"/>
      </w:pPr>
    </w:lvl>
    <w:lvl w:ilvl="7" w:tplc="F4C261D8">
      <w:start w:val="1"/>
      <w:numFmt w:val="bullet"/>
      <w:lvlText w:val="•"/>
      <w:lvlJc w:val="left"/>
      <w:pPr>
        <w:ind w:left="6837" w:hanging="336"/>
      </w:pPr>
    </w:lvl>
    <w:lvl w:ilvl="8" w:tplc="EF1A4F22">
      <w:start w:val="1"/>
      <w:numFmt w:val="bullet"/>
      <w:lvlText w:val="•"/>
      <w:lvlJc w:val="left"/>
      <w:pPr>
        <w:ind w:left="7663" w:hanging="336"/>
      </w:pPr>
    </w:lvl>
  </w:abstractNum>
  <w:abstractNum w:abstractNumId="2" w15:restartNumberingAfterBreak="0">
    <w:nsid w:val="08D330D0"/>
    <w:multiLevelType w:val="hybridMultilevel"/>
    <w:tmpl w:val="BB5C2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F61DCF"/>
    <w:multiLevelType w:val="hybridMultilevel"/>
    <w:tmpl w:val="B07043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26216CE"/>
    <w:multiLevelType w:val="hybridMultilevel"/>
    <w:tmpl w:val="50E83B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5E67D5A"/>
    <w:multiLevelType w:val="hybridMultilevel"/>
    <w:tmpl w:val="FAC29538"/>
    <w:lvl w:ilvl="0" w:tplc="EE200B50">
      <w:start w:val="1"/>
      <w:numFmt w:val="decimal"/>
      <w:lvlText w:val="%1."/>
      <w:lvlJc w:val="left"/>
      <w:pPr>
        <w:ind w:left="720" w:hanging="360"/>
      </w:pPr>
      <w:rPr>
        <w:rFonts w:ascii="Tahoma" w:hAnsi="Tahoma" w:cs="Tahoma" w:hint="default"/>
        <w:b/>
        <w:color w:val="548DD4"/>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0442B7B"/>
    <w:multiLevelType w:val="hybridMultilevel"/>
    <w:tmpl w:val="CC44E4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C74971"/>
    <w:multiLevelType w:val="hybridMultilevel"/>
    <w:tmpl w:val="6F1026EA"/>
    <w:lvl w:ilvl="0" w:tplc="4E102D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B33786"/>
    <w:multiLevelType w:val="hybridMultilevel"/>
    <w:tmpl w:val="3CAE4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9683895">
    <w:abstractNumId w:val="3"/>
  </w:num>
  <w:num w:numId="2" w16cid:durableId="1473719478">
    <w:abstractNumId w:val="4"/>
  </w:num>
  <w:num w:numId="3" w16cid:durableId="267397238">
    <w:abstractNumId w:val="8"/>
  </w:num>
  <w:num w:numId="4" w16cid:durableId="44990415">
    <w:abstractNumId w:val="0"/>
  </w:num>
  <w:num w:numId="5" w16cid:durableId="636960582">
    <w:abstractNumId w:val="6"/>
  </w:num>
  <w:num w:numId="6" w16cid:durableId="1079132055">
    <w:abstractNumId w:val="2"/>
  </w:num>
  <w:num w:numId="7" w16cid:durableId="335311277">
    <w:abstractNumId w:val="5"/>
  </w:num>
  <w:num w:numId="8" w16cid:durableId="52657752">
    <w:abstractNumId w:val="7"/>
  </w:num>
  <w:num w:numId="9" w16cid:durableId="84759708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B3"/>
    <w:rsid w:val="00003F9A"/>
    <w:rsid w:val="000302C1"/>
    <w:rsid w:val="000527DB"/>
    <w:rsid w:val="00055DB3"/>
    <w:rsid w:val="00137820"/>
    <w:rsid w:val="002506DC"/>
    <w:rsid w:val="002A17A4"/>
    <w:rsid w:val="002C08D9"/>
    <w:rsid w:val="002D34CE"/>
    <w:rsid w:val="00365BED"/>
    <w:rsid w:val="00485CDA"/>
    <w:rsid w:val="00492D59"/>
    <w:rsid w:val="00493567"/>
    <w:rsid w:val="00496B10"/>
    <w:rsid w:val="004F1E76"/>
    <w:rsid w:val="005212F8"/>
    <w:rsid w:val="0066098C"/>
    <w:rsid w:val="006F7942"/>
    <w:rsid w:val="007A2D5B"/>
    <w:rsid w:val="007B4529"/>
    <w:rsid w:val="007D5028"/>
    <w:rsid w:val="008A7BF0"/>
    <w:rsid w:val="00923138"/>
    <w:rsid w:val="009238C8"/>
    <w:rsid w:val="00951E74"/>
    <w:rsid w:val="009D0E8B"/>
    <w:rsid w:val="00A3301B"/>
    <w:rsid w:val="00A75F5F"/>
    <w:rsid w:val="00AF6C65"/>
    <w:rsid w:val="00B60D43"/>
    <w:rsid w:val="00B666F3"/>
    <w:rsid w:val="00B826C5"/>
    <w:rsid w:val="00BA6D80"/>
    <w:rsid w:val="00BF0905"/>
    <w:rsid w:val="00C2403C"/>
    <w:rsid w:val="00C95134"/>
    <w:rsid w:val="00D13087"/>
    <w:rsid w:val="00E56DCE"/>
    <w:rsid w:val="00E605E9"/>
    <w:rsid w:val="00E70E93"/>
    <w:rsid w:val="00E830E9"/>
    <w:rsid w:val="00EC041E"/>
    <w:rsid w:val="00EC4BA9"/>
    <w:rsid w:val="00EF6DD4"/>
    <w:rsid w:val="00F1517E"/>
    <w:rsid w:val="00F5682B"/>
    <w:rsid w:val="00F57200"/>
    <w:rsid w:val="00F83138"/>
    <w:rsid w:val="00FC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25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rPr>
  </w:style>
  <w:style w:type="paragraph" w:styleId="Heading2">
    <w:name w:val="heading 2"/>
    <w:basedOn w:val="Normal"/>
    <w:next w:val="Normal"/>
    <w:link w:val="Heading2Char"/>
    <w:qFormat/>
    <w:locked/>
    <w:rsid w:val="009D0E8B"/>
    <w:pPr>
      <w:keepNext/>
      <w:spacing w:after="0" w:line="240" w:lineRule="auto"/>
      <w:outlineLvl w:val="1"/>
    </w:pPr>
    <w:rPr>
      <w:rFonts w:ascii="Park Avenue" w:hAnsi="Park Avenue"/>
      <w:b/>
      <w:i/>
      <w:sz w:val="36"/>
      <w:szCs w:val="20"/>
    </w:rPr>
  </w:style>
  <w:style w:type="paragraph" w:styleId="Heading4">
    <w:name w:val="heading 4"/>
    <w:basedOn w:val="Normal"/>
    <w:next w:val="Normal"/>
    <w:link w:val="Heading4Char"/>
    <w:qFormat/>
    <w:locked/>
    <w:rsid w:val="009D0E8B"/>
    <w:pPr>
      <w:keepNext/>
      <w:spacing w:after="0" w:line="240" w:lineRule="auto"/>
      <w:outlineLvl w:val="3"/>
    </w:pPr>
    <w:rPr>
      <w:rFonts w:ascii="Park Avenue" w:hAnsi="Park Avenue"/>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rPr>
  </w:style>
  <w:style w:type="character" w:customStyle="1" w:styleId="Heading2Char">
    <w:name w:val="Heading 2 Char"/>
    <w:basedOn w:val="DefaultParagraphFont"/>
    <w:link w:val="Heading2"/>
    <w:rsid w:val="009D0E8B"/>
    <w:rPr>
      <w:rFonts w:ascii="Park Avenue" w:eastAsia="Times New Roman" w:hAnsi="Park Avenue"/>
      <w:b/>
      <w:i/>
      <w:sz w:val="36"/>
    </w:rPr>
  </w:style>
  <w:style w:type="character" w:customStyle="1" w:styleId="Heading4Char">
    <w:name w:val="Heading 4 Char"/>
    <w:basedOn w:val="DefaultParagraphFont"/>
    <w:link w:val="Heading4"/>
    <w:rsid w:val="009D0E8B"/>
    <w:rPr>
      <w:rFonts w:ascii="Park Avenue" w:eastAsia="Times New Roman" w:hAnsi="Park Avenue"/>
      <w:b/>
      <w:i/>
      <w:sz w:val="32"/>
    </w:rPr>
  </w:style>
  <w:style w:type="paragraph" w:styleId="BodyText">
    <w:name w:val="Body Text"/>
    <w:basedOn w:val="Normal"/>
    <w:link w:val="BodyTextChar"/>
    <w:uiPriority w:val="1"/>
    <w:unhideWhenUsed/>
    <w:qFormat/>
    <w:rsid w:val="00485CDA"/>
    <w:pPr>
      <w:widowControl w:val="0"/>
      <w:spacing w:after="0" w:line="240" w:lineRule="auto"/>
      <w:ind w:left="100"/>
    </w:pPr>
    <w:rPr>
      <w:rFonts w:eastAsia="Calibri" w:cstheme="minorBidi"/>
    </w:rPr>
  </w:style>
  <w:style w:type="character" w:customStyle="1" w:styleId="BodyTextChar">
    <w:name w:val="Body Text Char"/>
    <w:basedOn w:val="DefaultParagraphFont"/>
    <w:link w:val="BodyText"/>
    <w:uiPriority w:val="1"/>
    <w:rsid w:val="00485CDA"/>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0" w:color="003366"/>
            <w:left w:val="single" w:sz="6" w:space="0" w:color="003366"/>
            <w:bottom w:val="single" w:sz="6" w:space="0" w:color="003366"/>
            <w:right w:val="single" w:sz="6" w:space="0" w:color="003366"/>
          </w:divBdr>
          <w:divsChild>
            <w:div w:id="1">
              <w:marLeft w:val="0"/>
              <w:marRight w:val="0"/>
              <w:marTop w:val="15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CDC7-B226-4318-A8A7-A24B672C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2011-03-02T18:48:00Z</cp:lastPrinted>
  <dcterms:created xsi:type="dcterms:W3CDTF">2022-04-05T12:40:00Z</dcterms:created>
  <dcterms:modified xsi:type="dcterms:W3CDTF">2022-04-05T12:40:00Z</dcterms:modified>
</cp:coreProperties>
</file>